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8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6580"/>
        <w:gridCol w:w="3300"/>
      </w:tblGrid>
      <w:tr>
        <w:tc>
          <w:tcPr>
            <w:tcW w:type="dxa" w:w="6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A1220" w:val="clear"/>
            <w:tcMar>
              <w:top w:type="dxa" w:w="220"/>
              <w:left w:type="dxa" w:w="280"/>
              <w:bottom w:type="dxa" w:w="220"/>
              <w:right w:type="dxa" w:w="200"/>
            </w:tcMar>
            <w:vAlign w:val="center"/>
          </w:tcPr>
          <w:p>
            <w:r>
              <w:rPr>
                <w:rFonts w:ascii="Calibri Light" w:cs="Calibri Light" w:eastAsia="Calibri Light" w:hAnsi="Calibri Light"/>
                <w:b/>
                <w:bCs/>
                <w:color w:val="FFFFFF"/>
                <w:spacing w:val="40"/>
                <w:sz w:val="34"/>
                <w:szCs w:val="34"/>
              </w:rPr>
              <w:t xml:space="preserve">QUANTUM</w:t>
            </w:r>
            <w:r>
              <w:rPr>
                <w:rFonts w:ascii="Calibri Light" w:cs="Calibri Light" w:eastAsia="Calibri Light" w:hAnsi="Calibri Light"/>
                <w:b/>
                <w:bCs/>
                <w:color w:val="D4AF37"/>
                <w:spacing w:val="40"/>
                <w:sz w:val="34"/>
                <w:szCs w:val="34"/>
              </w:rPr>
              <w:t xml:space="preserve">-AI</w:t>
            </w:r>
          </w:p>
          <w:p>
            <w:pPr>
              <w:spacing w:before="40"/>
            </w:pPr>
            <w:r>
              <w:rPr>
                <w:rFonts w:ascii="Consolas" w:cs="Consolas" w:eastAsia="Consolas" w:hAnsi="Consolas"/>
                <w:color w:val="C9CFDD"/>
                <w:spacing w:val="20"/>
                <w:sz w:val="16"/>
                <w:szCs w:val="16"/>
              </w:rPr>
              <w:t xml:space="preserve">AI SERVICES FOR LEGAL TEAMS  ·  2026</w:t>
            </w:r>
          </w:p>
        </w:tc>
        <w:tc>
          <w:tcPr>
            <w:tcW w:type="dxa" w:w="3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A1220" w:val="clear"/>
            <w:tcMar>
              <w:top w:type="dxa" w:w="220"/>
              <w:left w:type="dxa" w:w="200"/>
              <w:bottom w:type="dxa" w:w="220"/>
              <w:right w:type="dxa" w:w="280"/>
            </w:tcMar>
            <w:vAlign w:val="center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D4AF37"/>
                <w:spacing w:val="30"/>
                <w:sz w:val="16"/>
                <w:szCs w:val="16"/>
              </w:rPr>
              <w:t xml:space="preserve">SERVICE BRIEF</w:t>
            </w:r>
          </w:p>
          <w:p>
            <w:pPr>
              <w:spacing w:before="40"/>
              <w:jc w:val="right"/>
            </w:pPr>
            <w:r>
              <w:rPr>
                <w:rFonts w:ascii="Consolas" w:cs="Consolas" w:eastAsia="Consolas" w:hAnsi="Consolas"/>
                <w:color w:val="C9CFDD"/>
                <w:sz w:val="16"/>
                <w:szCs w:val="16"/>
              </w:rPr>
              <w:t xml:space="preserve">July 2026</w:t>
            </w:r>
          </w:p>
        </w:tc>
      </w:tr>
    </w:tbl>
    <w:p>
      <w:pPr>
        <w:spacing w:after="60"/>
      </w:pPr>
    </w:p>
    <w:p>
      <w:pPr>
        <w:pStyle w:val="Heading1"/>
        <w:spacing w:after="160" w:before="280"/>
      </w:pPr>
      <w:r>
        <w:rPr>
          <w:rFonts w:ascii="Calibri Light" w:cs="Calibri Light" w:eastAsia="Calibri Light" w:hAnsi="Calibri Light"/>
          <w:b/>
          <w:bCs/>
          <w:color w:val="0A1220"/>
          <w:sz w:val="52"/>
          <w:szCs w:val="52"/>
        </w:rPr>
        <w:t xml:space="preserve">AI that holds up under </w:t>
      </w:r>
      <w:r>
        <w:rPr>
          <w:rFonts w:ascii="Calibri Light" w:cs="Calibri Light" w:eastAsia="Calibri Light" w:hAnsi="Calibri Light"/>
          <w:b/>
          <w:bCs/>
          <w:color w:val="B8962E"/>
          <w:sz w:val="52"/>
          <w:szCs w:val="52"/>
        </w:rPr>
        <w:t xml:space="preserve">privilege, precedent, and audit.</w:t>
      </w:r>
    </w:p>
    <w:p>
      <w:pPr>
        <w:spacing w:after="240"/>
      </w:pPr>
      <w:r>
        <w:rPr>
          <w:rFonts w:ascii="Calibri" w:cs="Calibri" w:eastAsia="Calibri" w:hAnsi="Calibri"/>
          <w:color w:val="5A6478"/>
          <w:sz w:val="24"/>
          <w:szCs w:val="24"/>
        </w:rPr>
        <w:t xml:space="preserve">Law firms are adopting AI faster than the rules governing it are settling. Quantum-AI builds the layer in between — governance, vendor diligence, and documentation — so your attorneys get the leverage of AI without putting client confidentiality, work product, or the firm’s name at risk.</w:t>
      </w:r>
    </w:p>
    <w:p>
      <w:pPr>
        <w:spacing w:after="80" w:before="300"/>
      </w:pPr>
      <w:r>
        <w:rPr>
          <w:rFonts w:ascii="Consolas" w:cs="Consolas" w:eastAsia="Consolas" w:hAnsi="Consolas"/>
          <w:b/>
          <w:bCs/>
          <w:color w:val="B8962E"/>
          <w:spacing w:val="30"/>
          <w:sz w:val="17"/>
          <w:szCs w:val="17"/>
        </w:rPr>
        <w:t xml:space="preserve">// WHAT_WE_DO</w:t>
      </w:r>
    </w:p>
    <w:p>
      <w:pPr>
        <w:pStyle w:val="Heading2"/>
      </w:pPr>
      <w:r>
        <w:rPr>
          <w:rFonts w:ascii="Calibri Light" w:cs="Calibri Light" w:eastAsia="Calibri Light" w:hAnsi="Calibri Light"/>
          <w:b/>
          <w:bCs/>
          <w:color w:val="0A1220"/>
          <w:sz w:val="32"/>
          <w:szCs w:val="32"/>
        </w:rPr>
        <w:t xml:space="preserve">Three tracks, built for how a firm actually runs</w:t>
      </w:r>
    </w:p>
    <w:p>
      <w:pPr>
        <w:spacing w:after="200" w:before="0"/>
      </w:pPr>
      <w:r>
        <w:rPr>
          <w:rFonts w:ascii="Calibri" w:cs="Calibri" w:eastAsia="Calibri" w:hAnsi="Calibri"/>
          <w:color w:val="5A6478"/>
          <w:sz w:val="22"/>
          <w:szCs w:val="22"/>
        </w:rPr>
        <w:t xml:space="preserve">Every deliverable is designed to survive scrutiny — from a managing partner, a client’s GC, or a regulator. Documentation is the product, not the paperwork.</w:t>
      </w:r>
    </w:p>
    <w:p>
      <w:pPr>
        <w:pStyle w:val="Heading3"/>
      </w:pPr>
      <w:r>
        <w:rPr>
          <w:rFonts w:ascii="Consolas" w:cs="Consolas" w:eastAsia="Consolas" w:hAnsi="Consolas"/>
          <w:b/>
          <w:bCs/>
          <w:color w:val="B8962E"/>
          <w:sz w:val="22"/>
          <w:szCs w:val="22"/>
        </w:rPr>
        <w:t xml:space="preserve">01  </w:t>
      </w:r>
      <w:r>
        <w:rPr>
          <w:rFonts w:ascii="Calibri" w:cs="Calibri" w:eastAsia="Calibri" w:hAnsi="Calibri"/>
          <w:b/>
          <w:bCs/>
          <w:color w:val="0A1220"/>
          <w:sz w:val="24"/>
          <w:szCs w:val="24"/>
        </w:rPr>
        <w:t xml:space="preserve">AI Use Policy &amp; Governance for Legal Practice</w:t>
      </w:r>
    </w:p>
    <w:p>
      <w:pPr>
        <w:spacing w:after="160" w:before="0"/>
      </w:pPr>
      <w:r>
        <w:rPr>
          <w:rFonts w:ascii="Calibri" w:cs="Calibri" w:eastAsia="Calibri" w:hAnsi="Calibri"/>
          <w:color w:val="1A2238"/>
          <w:sz w:val="22"/>
          <w:szCs w:val="22"/>
        </w:rPr>
        <w:t xml:space="preserve">Privilege-safe AI usage frameworks for attorneys and staff: which tools are approved, what data can touch them, and how usage is logged. Human-led, AI-assisted — and provably so.</w:t>
      </w:r>
    </w:p>
    <w:p>
      <w:pPr>
        <w:pStyle w:val="Heading3"/>
      </w:pPr>
      <w:r>
        <w:rPr>
          <w:rFonts w:ascii="Consolas" w:cs="Consolas" w:eastAsia="Consolas" w:hAnsi="Consolas"/>
          <w:b/>
          <w:bCs/>
          <w:color w:val="B8962E"/>
          <w:sz w:val="22"/>
          <w:szCs w:val="22"/>
        </w:rPr>
        <w:t xml:space="preserve">02  </w:t>
      </w:r>
      <w:r>
        <w:rPr>
          <w:rFonts w:ascii="Calibri" w:cs="Calibri" w:eastAsia="Calibri" w:hAnsi="Calibri"/>
          <w:b/>
          <w:bCs/>
          <w:color w:val="0A1220"/>
          <w:sz w:val="24"/>
          <w:szCs w:val="24"/>
        </w:rPr>
        <w:t xml:space="preserve">Legal-Tech &amp; AI Vendor Risk Assessment</w:t>
      </w:r>
    </w:p>
    <w:p>
      <w:pPr>
        <w:spacing w:after="160" w:before="0"/>
      </w:pPr>
      <w:r>
        <w:rPr>
          <w:rFonts w:ascii="Calibri" w:cs="Calibri" w:eastAsia="Calibri" w:hAnsi="Calibri"/>
          <w:color w:val="1A2238"/>
          <w:sz w:val="22"/>
          <w:szCs w:val="22"/>
        </w:rPr>
        <w:t xml:space="preserve">Structured evaluation of the AI tools entering your stack — research platforms, drafting assistants, e-discovery. Model risk, data handling, and contract terms, mapped before you sign.</w:t>
      </w:r>
    </w:p>
    <w:p>
      <w:pPr>
        <w:pStyle w:val="Heading3"/>
      </w:pPr>
      <w:r>
        <w:rPr>
          <w:rFonts w:ascii="Consolas" w:cs="Consolas" w:eastAsia="Consolas" w:hAnsi="Consolas"/>
          <w:b/>
          <w:bCs/>
          <w:color w:val="B8962E"/>
          <w:sz w:val="22"/>
          <w:szCs w:val="22"/>
        </w:rPr>
        <w:t xml:space="preserve">03  </w:t>
      </w:r>
      <w:r>
        <w:rPr>
          <w:rFonts w:ascii="Calibri" w:cs="Calibri" w:eastAsia="Calibri" w:hAnsi="Calibri"/>
          <w:b/>
          <w:bCs/>
          <w:color w:val="0A1220"/>
          <w:sz w:val="24"/>
          <w:szCs w:val="24"/>
        </w:rPr>
        <w:t xml:space="preserve">AI Regulatory Readiness &amp; Client Support</w:t>
      </w:r>
    </w:p>
    <w:p>
      <w:pPr>
        <w:spacing w:after="220" w:before="0"/>
      </w:pPr>
      <w:r>
        <w:rPr>
          <w:rFonts w:ascii="Calibri" w:cs="Calibri" w:eastAsia="Calibri" w:hAnsi="Calibri"/>
          <w:color w:val="1A2238"/>
          <w:sz w:val="22"/>
          <w:szCs w:val="22"/>
        </w:rPr>
        <w:t xml:space="preserve">Practitioner-grade tracking of the EU AI Act and the 119th Congress AI landscape — positioning your firm to advise clients on AI compliance, not just consume it.</w:t>
      </w:r>
    </w:p>
    <w:tbl>
      <w:tblPr>
        <w:tblW w:type="dxa" w:w="9880"/>
        <w:tblBorders>
          <w:top w:val="single" w:color="D4AF37" w:sz="6"/>
          <w:left w:val="single" w:color="D4AF37" w:sz="6"/>
          <w:bottom w:val="single" w:color="D4AF37" w:sz="6"/>
          <w:right w:val="single" w:color="D4AF37" w:sz="6"/>
          <w:insideH w:val="none" w:color="FFFFFF" w:sz="0"/>
          <w:insideV w:val="none" w:color="FFFFFF" w:sz="0"/>
        </w:tblBorders>
        <w:tblLayout w:type="fixed"/>
      </w:tblPr>
      <w:tblGrid>
        <w:gridCol w:w="9880"/>
      </w:tblGrid>
      <w:tr>
        <w:tc>
          <w:tcPr>
            <w:tcW w:type="dxa" w:w="9880"/>
            <w:shd w:fill="FBF6E7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A1220"/>
                <w:sz w:val="22"/>
                <w:szCs w:val="22"/>
              </w:rPr>
              <w:t xml:space="preserve">The long-game angle: </w:t>
            </w:r>
            <w:r>
              <w:rPr>
                <w:rFonts w:ascii="Calibri" w:cs="Calibri" w:eastAsia="Calibri" w:hAnsi="Calibri"/>
                <w:color w:val="1A2238"/>
                <w:sz w:val="22"/>
                <w:szCs w:val="22"/>
              </w:rPr>
              <w:t xml:space="preserve">client files carry confidentiality obligations measured in decades. “Harvest now, decrypt later” means data intercepted today can be exposed when quantum computers mature. We fold post-quantum readiness into the same engagement — so the firm’s data protection story is durable, not just current.</w:t>
            </w:r>
          </w:p>
        </w:tc>
      </w:tr>
    </w:tbl>
    <w:p>
      <w:pPr>
        <w:spacing w:after="80" w:before="360"/>
      </w:pPr>
      <w:r>
        <w:rPr>
          <w:rFonts w:ascii="Consolas" w:cs="Consolas" w:eastAsia="Consolas" w:hAnsi="Consolas"/>
          <w:b/>
          <w:bCs/>
          <w:color w:val="B8962E"/>
          <w:spacing w:val="30"/>
          <w:sz w:val="17"/>
          <w:szCs w:val="17"/>
        </w:rPr>
        <w:t xml:space="preserve">// YOUR_CONTACT</w:t>
      </w:r>
    </w:p>
    <w:tbl>
      <w:tblPr>
        <w:tblW w:type="dxa" w:w="98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2300"/>
        <w:gridCol w:w="7580"/>
      </w:tblGrid>
      <w:tr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0"/>
              <w:bottom w:type="dxa" w:w="100"/>
              <w:right w:type="dxa" w:w="200"/>
            </w:tcMar>
            <w:vAlign w:val="center"/>
          </w:tcPr>
          <w:p>
            <w:r>
              <w:drawing>
                <wp:inline distT="0" distB="0" distL="0" distR="0">
                  <wp:extent cx="1333500" cy="13335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00"/>
              <w:bottom w:type="dxa" w:w="100"/>
              <w:right w:type="dxa" w:w="0"/>
            </w:tcMar>
            <w:vAlign w:val="center"/>
          </w:tcPr>
          <w:p>
            <w:r>
              <w:rPr>
                <w:rFonts w:ascii="Calibri Light" w:cs="Calibri Light" w:eastAsia="Calibri Light" w:hAnsi="Calibri Light"/>
                <w:b/>
                <w:bCs/>
                <w:color w:val="0A1220"/>
                <w:sz w:val="30"/>
                <w:szCs w:val="30"/>
              </w:rPr>
              <w:t xml:space="preserve">Eric</w:t>
            </w:r>
          </w:p>
          <w:p>
            <w:pPr>
              <w:spacing w:after="100" w:before="20"/>
            </w:pPr>
            <w:r>
              <w:rPr>
                <w:rFonts w:ascii="Consolas" w:cs="Consolas" w:eastAsia="Consolas" w:hAnsi="Consolas"/>
                <w:color w:val="B8962E"/>
                <w:spacing w:val="20"/>
                <w:sz w:val="16"/>
                <w:szCs w:val="16"/>
              </w:rPr>
              <w:t xml:space="preserve">ENGAGEMENT_LEAD · QUANTUM-AI</w:t>
            </w:r>
          </w:p>
          <w:p>
            <w:r>
              <w:rPr>
                <w:rFonts w:ascii="Calibri" w:cs="Calibri" w:eastAsia="Calibri" w:hAnsi="Calibri"/>
                <w:color w:val="5A6478"/>
                <w:sz w:val="21"/>
                <w:szCs w:val="21"/>
              </w:rPr>
              <w:t xml:space="preserve">Eric is your point of contact for this engagement — coordinating scoping, the initial readiness briefing, and delivery across the Quantum-AI team. Behind him sits a bench with 17+ years across defense compliance, enterprise AI governance, and EU AI Act deployment.</w:t>
            </w:r>
          </w:p>
        </w:tc>
      </w:tr>
    </w:tbl>
    <w:p>
      <w:pPr>
        <w:spacing w:after="80" w:before="360"/>
      </w:pPr>
      <w:r>
        <w:rPr>
          <w:rFonts w:ascii="Consolas" w:cs="Consolas" w:eastAsia="Consolas" w:hAnsi="Consolas"/>
          <w:b/>
          <w:bCs/>
          <w:color w:val="B8962E"/>
          <w:spacing w:val="30"/>
          <w:sz w:val="17"/>
          <w:szCs w:val="17"/>
        </w:rPr>
        <w:t xml:space="preserve">// HOW_IT_STARTS</w:t>
      </w:r>
    </w:p>
    <w:p>
      <w:pPr>
        <w:pStyle w:val="Heading2"/>
      </w:pPr>
      <w:r>
        <w:rPr>
          <w:rFonts w:ascii="Calibri Light" w:cs="Calibri Light" w:eastAsia="Calibri Light" w:hAnsi="Calibri Light"/>
          <w:b/>
          <w:bCs/>
          <w:color w:val="0A1220"/>
          <w:sz w:val="32"/>
          <w:szCs w:val="32"/>
        </w:rPr>
        <w:t xml:space="preserve">Small, concrete, fast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Calibri" w:cs="Calibri" w:eastAsia="Calibri" w:hAnsi="Calibri"/>
          <w:b/>
          <w:bCs/>
          <w:color w:val="0A1220"/>
          <w:sz w:val="22"/>
          <w:szCs w:val="22"/>
        </w:rPr>
        <w:t xml:space="preserve">Week 1 — Readiness briefing.  </w:t>
      </w:r>
      <w:r>
        <w:rPr>
          <w:rFonts w:ascii="Calibri" w:cs="Calibri" w:eastAsia="Calibri" w:hAnsi="Calibri"/>
          <w:color w:val="1A2238"/>
          <w:sz w:val="22"/>
          <w:szCs w:val="22"/>
        </w:rPr>
        <w:t xml:space="preserve">A short working session: where the firm stands on AI usage, exposure, and the regulatory clock for legal services.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Calibri" w:cs="Calibri" w:eastAsia="Calibri" w:hAnsi="Calibri"/>
          <w:b/>
          <w:bCs/>
          <w:color w:val="0A1220"/>
          <w:sz w:val="22"/>
          <w:szCs w:val="22"/>
        </w:rPr>
        <w:t xml:space="preserve">Weeks 2–4 — Inventory &amp; assessment.  </w:t>
      </w:r>
      <w:r>
        <w:rPr>
          <w:rFonts w:ascii="Calibri" w:cs="Calibri" w:eastAsia="Calibri" w:hAnsi="Calibri"/>
          <w:color w:val="1A2238"/>
          <w:sz w:val="22"/>
          <w:szCs w:val="22"/>
        </w:rPr>
        <w:t xml:space="preserve">Map every AI touchpoint against confidentiality, privilege, and vendor risk. Ranked by exposure, not hype.</w:t>
      </w:r>
    </w:p>
    <w:p>
      <w:pPr>
        <w:pStyle w:val="ListParagraph"/>
        <w:numPr>
          <w:ilvl w:val="0"/>
          <w:numId w:val="2"/>
        </w:numPr>
        <w:spacing w:after="240"/>
      </w:pPr>
      <w:r>
        <w:rPr>
          <w:rFonts w:ascii="Calibri" w:cs="Calibri" w:eastAsia="Calibri" w:hAnsi="Calibri"/>
          <w:b/>
          <w:bCs/>
          <w:color w:val="0A1220"/>
          <w:sz w:val="22"/>
          <w:szCs w:val="22"/>
        </w:rPr>
        <w:t xml:space="preserve">Week 5+ — Framework &amp; rollout.  </w:t>
      </w:r>
      <w:r>
        <w:rPr>
          <w:rFonts w:ascii="Calibri" w:cs="Calibri" w:eastAsia="Calibri" w:hAnsi="Calibri"/>
          <w:color w:val="1A2238"/>
          <w:sz w:val="22"/>
          <w:szCs w:val="22"/>
        </w:rPr>
        <w:t xml:space="preserve">A documented governance framework the firm owns — policies, vendor standards, and an adoption roadmap.</w:t>
      </w:r>
    </w:p>
    <w:tbl>
      <w:tblPr>
        <w:tblW w:type="dxa" w:w="98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6580"/>
        <w:gridCol w:w="3300"/>
      </w:tblGrid>
      <w:tr>
        <w:tc>
          <w:tcPr>
            <w:tcW w:type="dxa" w:w="6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A1220" w:val="clear"/>
            <w:tcMar>
              <w:top w:type="dxa" w:w="200"/>
              <w:left w:type="dxa" w:w="280"/>
              <w:bottom w:type="dxa" w:w="200"/>
              <w:right w:type="dxa" w:w="2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D4AF37"/>
                <w:sz w:val="24"/>
                <w:szCs w:val="24"/>
              </w:rPr>
              <w:t xml:space="preserve">Request the readiness briefing</w:t>
            </w:r>
          </w:p>
          <w:p>
            <w:pPr>
              <w:spacing w:before="60"/>
            </w:pPr>
            <w:r>
              <w:rPr>
                <w:rFonts w:ascii="Calibri" w:cs="Calibri" w:eastAsia="Calibri" w:hAnsi="Calibri"/>
                <w:color w:val="FFFFFF"/>
                <w:sz w:val="20"/>
                <w:szCs w:val="20"/>
              </w:rPr>
              <w:t xml:space="preserve">Info@quantum-ai.space  ·  (618) 578-4041  ·  quantum-ai.space</w:t>
            </w:r>
          </w:p>
        </w:tc>
        <w:tc>
          <w:tcPr>
            <w:tcW w:type="dxa" w:w="3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A1220" w:val="clear"/>
            <w:tcMar>
              <w:top w:type="dxa" w:w="200"/>
              <w:left w:type="dxa" w:w="200"/>
              <w:bottom w:type="dxa" w:w="200"/>
              <w:right w:type="dxa" w:w="280"/>
            </w:tcMar>
            <w:vAlign w:val="center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C9CFDD"/>
                <w:sz w:val="14"/>
                <w:szCs w:val="14"/>
              </w:rPr>
              <w:t xml:space="preserve">© 2026 Quantum-AI Consulting, LLC</w:t>
            </w:r>
          </w:p>
          <w:p>
            <w:pPr>
              <w:spacing w:before="30"/>
              <w:jc w:val="right"/>
            </w:pPr>
            <w:r>
              <w:rPr>
                <w:rFonts w:ascii="Consolas" w:cs="Consolas" w:eastAsia="Consolas" w:hAnsi="Consolas"/>
                <w:color w:val="C9CFDD"/>
                <w:sz w:val="14"/>
                <w:szCs w:val="14"/>
              </w:rPr>
              <w:t xml:space="preserve">AI-assisted · human-led · risk-governed</w:t>
            </w:r>
          </w:p>
        </w:tc>
      </w:tr>
    </w:tbl>
    <w:sectPr>
      <w:pgSz w:w="12240" w:h="15840" w:orient="portrait"/>
      <w:pgMar w:top="1080" w:right="1180" w:bottom="10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15"/>
      </w:pPr>
      <w:rPr>
        <w:color w:val="B8962E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238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0"/>
    </w:pPr>
    <w:rPr>
      <w:rFonts w:ascii="Calibri Light" w:cs="Calibri Light" w:eastAsia="Calibri Light" w:hAnsi="Calibri Light"/>
      <w:b/>
      <w:bCs/>
      <w:color w:val="0A1220"/>
      <w:sz w:val="52"/>
      <w:szCs w:val="52"/>
    </w:rPr>
  </w:style>
  <w:style w:type="paragraph" w:styleId="Heading2">
    <w:name w:val="Heading 2"/>
    <w:basedOn w:val="Normal"/>
    <w:next w:val="Normal"/>
    <w:qFormat/>
    <w:pPr>
      <w:spacing w:after="140" w:before="320"/>
    </w:pPr>
    <w:rPr>
      <w:rFonts w:ascii="Calibri Light" w:cs="Calibri Light" w:eastAsia="Calibri Light" w:hAnsi="Calibri Light"/>
      <w:b/>
      <w:bCs/>
      <w:color w:val="0A1220"/>
      <w:sz w:val="32"/>
      <w:szCs w:val="32"/>
    </w:rPr>
  </w:style>
  <w:style w:type="paragraph" w:styleId="Heading3">
    <w:name w:val="Heading 3"/>
    <w:basedOn w:val="Normal"/>
    <w:next w:val="Normal"/>
    <w:qFormat/>
    <w:pPr>
      <w:spacing w:after="80" w:before="160"/>
    </w:pPr>
    <w:rPr>
      <w:rFonts w:ascii="Calibri" w:cs="Calibri" w:eastAsia="Calibri" w:hAnsi="Calibri"/>
      <w:b/>
      <w:bCs/>
      <w:color w:val="0A122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f9a801c0d184fe25ebb9061acdbce07914a06448.jp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2026-07-17T15:53:54.554Z</dcterms:created>
  <dcterms:modified xsi:type="dcterms:W3CDTF">2026-07-17T15:53:54.554Z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